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B480" w14:textId="77777777" w:rsidR="00E324D5" w:rsidRPr="00C143DA" w:rsidRDefault="00E324D5" w:rsidP="00E324D5">
      <w:pPr>
        <w:rPr>
          <w:rFonts w:asciiTheme="minorHAnsi" w:hAnsiTheme="minorHAnsi" w:cstheme="minorHAnsi"/>
          <w:b/>
          <w:sz w:val="24"/>
          <w:szCs w:val="24"/>
        </w:rPr>
      </w:pPr>
    </w:p>
    <w:p w14:paraId="6D7B5F4D" w14:textId="77777777" w:rsidR="00E324D5" w:rsidRPr="00C143DA" w:rsidRDefault="00E324D5" w:rsidP="00E324D5">
      <w:pPr>
        <w:rPr>
          <w:rFonts w:asciiTheme="minorHAnsi" w:hAnsiTheme="minorHAnsi" w:cstheme="minorHAnsi"/>
          <w:b/>
          <w:sz w:val="24"/>
          <w:szCs w:val="24"/>
        </w:rPr>
      </w:pPr>
    </w:p>
    <w:p w14:paraId="3103EDC8" w14:textId="77777777" w:rsidR="00E324D5" w:rsidRPr="00C143DA" w:rsidRDefault="00E324D5" w:rsidP="00E324D5">
      <w:pPr>
        <w:pStyle w:val="PredformtovanHTML"/>
        <w:spacing w:line="276" w:lineRule="auto"/>
        <w:jc w:val="both"/>
        <w:rPr>
          <w:rFonts w:asciiTheme="minorHAnsi" w:hAnsiTheme="minorHAnsi" w:cstheme="minorHAnsi"/>
          <w:color w:val="000000"/>
          <w:sz w:val="22"/>
          <w:szCs w:val="22"/>
        </w:rPr>
      </w:pPr>
      <w:r w:rsidRPr="00C143DA">
        <w:rPr>
          <w:rFonts w:asciiTheme="minorHAnsi" w:hAnsiTheme="minorHAnsi" w:cstheme="minorHAnsi"/>
          <w:color w:val="000000"/>
          <w:sz w:val="22"/>
          <w:szCs w:val="22"/>
        </w:rPr>
        <w:t>Dodávatelia a všetky osoby konajúce v ich mene musia dodržiavať vnútroštátne a nadnárodné protimonopolné zákony a zákony o ochrane hospodárskej súťaže. Nesmú priamo ani nepriamo uzatvárať žiadne nezákonné dohody a ani si nevymieňať citlivé informácie, napr. týkajúce sa trhov, zákazníkov, stratégií, cien a podobne. Všetci dodávatelia a všetky osoby konajúce v ich mene sa zúčastňujú na verejných súťažiach a súkromných sektorových ponukových konaní s dodržiavaním platných zákonov a predpisov.</w:t>
      </w:r>
    </w:p>
    <w:p w14:paraId="7EC5DF34" w14:textId="77777777" w:rsidR="00E324D5" w:rsidRPr="00C143DA" w:rsidRDefault="00E324D5" w:rsidP="00E324D5">
      <w:pPr>
        <w:pStyle w:val="Default"/>
        <w:spacing w:line="276" w:lineRule="auto"/>
        <w:jc w:val="both"/>
        <w:rPr>
          <w:rFonts w:asciiTheme="minorHAnsi" w:eastAsia="Times New Roman" w:hAnsiTheme="minorHAnsi" w:cstheme="minorHAnsi"/>
          <w:sz w:val="22"/>
          <w:szCs w:val="22"/>
        </w:rPr>
      </w:pPr>
    </w:p>
    <w:p w14:paraId="0810CE06" w14:textId="77777777" w:rsidR="00E324D5" w:rsidRPr="00C143DA" w:rsidRDefault="00E324D5" w:rsidP="00E324D5">
      <w:pPr>
        <w:pStyle w:val="Default"/>
        <w:spacing w:line="276" w:lineRule="auto"/>
        <w:rPr>
          <w:rFonts w:asciiTheme="minorHAnsi" w:eastAsia="Times New Roman" w:hAnsiTheme="minorHAnsi" w:cstheme="minorHAnsi"/>
          <w:sz w:val="22"/>
          <w:szCs w:val="22"/>
        </w:rPr>
      </w:pPr>
      <w:r w:rsidRPr="00C143DA">
        <w:rPr>
          <w:rFonts w:asciiTheme="minorHAnsi" w:eastAsia="Times New Roman" w:hAnsiTheme="minorHAnsi" w:cstheme="minorHAnsi"/>
          <w:b w:val="0"/>
          <w:snapToGrid/>
          <w:sz w:val="22"/>
          <w:szCs w:val="22"/>
          <w:lang w:eastAsia="sk-SK"/>
        </w:rPr>
        <w:t>Spoločnosť REVOL TT Consulting od svojich Dodávateľov očakáva, že budú podnikať etickým a zákonným spôsobom, a že v oblastiach boja proti korupcii, konkurenčného boja  a konfliktu záujmov sa budú riadiť nasledovnými konkrétnymi pravidlami</w:t>
      </w:r>
      <w:r w:rsidRPr="00C143DA">
        <w:rPr>
          <w:rFonts w:asciiTheme="minorHAnsi" w:eastAsia="Times New Roman" w:hAnsiTheme="minorHAnsi" w:cstheme="minorHAnsi"/>
          <w:sz w:val="22"/>
          <w:szCs w:val="22"/>
        </w:rPr>
        <w:t>:</w:t>
      </w:r>
    </w:p>
    <w:p w14:paraId="07BC60AC" w14:textId="77777777" w:rsidR="00E324D5" w:rsidRPr="00C143DA" w:rsidRDefault="00E324D5" w:rsidP="00E324D5">
      <w:pPr>
        <w:pStyle w:val="Default"/>
        <w:spacing w:line="276" w:lineRule="auto"/>
        <w:jc w:val="both"/>
        <w:rPr>
          <w:rFonts w:asciiTheme="minorHAnsi" w:hAnsiTheme="minorHAnsi" w:cstheme="minorHAnsi"/>
          <w:color w:val="auto"/>
          <w:sz w:val="22"/>
          <w:szCs w:val="22"/>
        </w:rPr>
      </w:pPr>
    </w:p>
    <w:p w14:paraId="60D56B91" w14:textId="77777777" w:rsidR="00E324D5" w:rsidRPr="00C143DA" w:rsidRDefault="00E324D5" w:rsidP="00E324D5">
      <w:pPr>
        <w:pStyle w:val="Default"/>
        <w:rPr>
          <w:rFonts w:asciiTheme="minorHAnsi" w:hAnsiTheme="minorHAnsi" w:cstheme="minorHAnsi"/>
          <w:color w:val="auto"/>
          <w:sz w:val="22"/>
          <w:szCs w:val="22"/>
        </w:rPr>
      </w:pPr>
    </w:p>
    <w:p w14:paraId="768C85A5"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RTC -  1  Podplácanie</w:t>
      </w:r>
    </w:p>
    <w:p w14:paraId="07F00155"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 xml:space="preserve"> </w:t>
      </w:r>
    </w:p>
    <w:p w14:paraId="1D6FCD0F" w14:textId="77777777" w:rsidR="00E324D5" w:rsidRPr="00C143DA" w:rsidRDefault="00E324D5" w:rsidP="00E324D5">
      <w:pPr>
        <w:pStyle w:val="Default"/>
        <w:spacing w:line="276" w:lineRule="auto"/>
        <w:jc w:val="both"/>
        <w:rPr>
          <w:rFonts w:asciiTheme="minorHAnsi" w:eastAsia="Times New Roman" w:hAnsiTheme="minorHAnsi" w:cstheme="minorHAnsi"/>
          <w:b w:val="0"/>
          <w:snapToGrid/>
          <w:sz w:val="22"/>
          <w:szCs w:val="22"/>
          <w:lang w:eastAsia="sk-SK"/>
        </w:rPr>
      </w:pPr>
      <w:r w:rsidRPr="00C143DA">
        <w:rPr>
          <w:rFonts w:asciiTheme="minorHAnsi" w:eastAsia="Times New Roman" w:hAnsiTheme="minorHAnsi" w:cstheme="minorHAnsi"/>
          <w:b w:val="0"/>
          <w:snapToGrid/>
          <w:sz w:val="22"/>
          <w:szCs w:val="22"/>
          <w:lang w:eastAsia="sk-SK"/>
        </w:rPr>
        <w:t xml:space="preserve">Spoločnosť netoleruje žiadnu formu podplácania a od svojich Dodávateľov očakáva, že nebudú prijímať ani ponúkať úplatky žiadneho druhu. </w:t>
      </w:r>
    </w:p>
    <w:p w14:paraId="651A6E3F" w14:textId="77777777" w:rsidR="00E324D5" w:rsidRPr="00C143DA" w:rsidRDefault="00E324D5" w:rsidP="00E324D5">
      <w:pPr>
        <w:pStyle w:val="Default"/>
        <w:spacing w:line="276" w:lineRule="auto"/>
        <w:jc w:val="both"/>
        <w:rPr>
          <w:rFonts w:asciiTheme="minorHAnsi" w:eastAsia="Times New Roman" w:hAnsiTheme="minorHAnsi" w:cstheme="minorHAnsi"/>
          <w:b w:val="0"/>
          <w:snapToGrid/>
          <w:sz w:val="22"/>
          <w:szCs w:val="22"/>
          <w:lang w:eastAsia="sk-SK"/>
        </w:rPr>
      </w:pPr>
      <w:r w:rsidRPr="00C143DA">
        <w:rPr>
          <w:rFonts w:asciiTheme="minorHAnsi" w:eastAsia="Times New Roman" w:hAnsiTheme="minorHAnsi" w:cstheme="minorHAnsi"/>
          <w:b w:val="0"/>
          <w:snapToGrid/>
          <w:sz w:val="22"/>
          <w:szCs w:val="22"/>
          <w:lang w:eastAsia="sk-SK"/>
        </w:rPr>
        <w:t>Zákaz podplácania platí bez výnimky, teda aj v prípadoch, keď sa k podplácaniu uchyľujú konkurenti spoločnosti alebo ich dodávatelia, ako aj v krajinách, v ktorých podplácanie ako také nie je nelegálne, prípadne kde je podplácanie bežnou súčasťou podnikateľskej praxe.</w:t>
      </w:r>
    </w:p>
    <w:p w14:paraId="420450C3" w14:textId="77777777" w:rsidR="00E324D5" w:rsidRPr="00C143DA" w:rsidRDefault="00E324D5" w:rsidP="00E324D5">
      <w:pPr>
        <w:pStyle w:val="Default"/>
        <w:spacing w:line="276" w:lineRule="auto"/>
        <w:ind w:right="-141"/>
        <w:rPr>
          <w:rFonts w:asciiTheme="minorHAnsi" w:eastAsia="Times New Roman" w:hAnsiTheme="minorHAnsi" w:cstheme="minorHAnsi"/>
          <w:b w:val="0"/>
          <w:snapToGrid/>
          <w:sz w:val="22"/>
          <w:szCs w:val="22"/>
          <w:lang w:eastAsia="sk-SK"/>
        </w:rPr>
      </w:pPr>
      <w:r w:rsidRPr="00C143DA">
        <w:rPr>
          <w:rFonts w:asciiTheme="minorHAnsi" w:eastAsia="Times New Roman" w:hAnsiTheme="minorHAnsi" w:cstheme="minorHAnsi"/>
          <w:b w:val="0"/>
          <w:snapToGrid/>
          <w:sz w:val="22"/>
          <w:szCs w:val="22"/>
          <w:lang w:eastAsia="sk-SK"/>
        </w:rPr>
        <w:t xml:space="preserve">Za podplácanie sa považujú aj platby za urýchlené vybavenie. Žiadny dodávateľ nebude postihovaný za to, že odmietne zaplatiť úplatok, a to ani vtedy, ak by tým spoločnosť prišla  o obchodnú príležitosť. </w:t>
      </w:r>
    </w:p>
    <w:p w14:paraId="3A9B1591" w14:textId="77777777" w:rsidR="00E324D5" w:rsidRPr="00C143DA" w:rsidRDefault="00E324D5" w:rsidP="00E324D5">
      <w:pPr>
        <w:pStyle w:val="Default"/>
        <w:spacing w:line="276" w:lineRule="auto"/>
        <w:jc w:val="both"/>
        <w:rPr>
          <w:rFonts w:asciiTheme="minorHAnsi" w:hAnsiTheme="minorHAnsi" w:cstheme="minorHAnsi"/>
          <w:sz w:val="22"/>
          <w:szCs w:val="22"/>
        </w:rPr>
      </w:pPr>
    </w:p>
    <w:p w14:paraId="6A973583" w14:textId="77777777" w:rsidR="00E324D5" w:rsidRPr="00C143DA" w:rsidRDefault="00E324D5" w:rsidP="00E324D5">
      <w:pPr>
        <w:pStyle w:val="Default"/>
        <w:spacing w:line="276" w:lineRule="auto"/>
        <w:jc w:val="both"/>
        <w:rPr>
          <w:rFonts w:asciiTheme="minorHAnsi" w:hAnsiTheme="minorHAnsi" w:cstheme="minorHAnsi"/>
          <w:sz w:val="22"/>
          <w:szCs w:val="22"/>
        </w:rPr>
      </w:pPr>
    </w:p>
    <w:p w14:paraId="45ECDAA0"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RTC  - 2    Dary, cestovné výdavky, zábava, a pod.</w:t>
      </w:r>
    </w:p>
    <w:p w14:paraId="2A8C0584" w14:textId="77777777" w:rsidR="00E324D5" w:rsidRPr="00C143DA" w:rsidRDefault="00E324D5" w:rsidP="00E324D5">
      <w:pPr>
        <w:pStyle w:val="Default"/>
        <w:rPr>
          <w:rFonts w:asciiTheme="minorHAnsi" w:hAnsiTheme="minorHAnsi" w:cstheme="minorHAnsi"/>
          <w:b w:val="0"/>
          <w:color w:val="auto"/>
          <w:sz w:val="22"/>
          <w:szCs w:val="22"/>
        </w:rPr>
      </w:pPr>
    </w:p>
    <w:p w14:paraId="58BC672D" w14:textId="77777777" w:rsidR="00E324D5" w:rsidRPr="00C143DA" w:rsidRDefault="00E324D5" w:rsidP="00E324D5">
      <w:pPr>
        <w:pStyle w:val="Default"/>
        <w:spacing w:line="276" w:lineRule="auto"/>
        <w:jc w:val="both"/>
        <w:rPr>
          <w:rFonts w:asciiTheme="minorHAnsi" w:eastAsia="Times New Roman" w:hAnsiTheme="minorHAnsi" w:cstheme="minorHAnsi"/>
          <w:b w:val="0"/>
          <w:snapToGrid/>
          <w:sz w:val="22"/>
          <w:szCs w:val="22"/>
          <w:lang w:eastAsia="sk-SK"/>
        </w:rPr>
      </w:pPr>
      <w:r w:rsidRPr="00C143DA">
        <w:rPr>
          <w:rFonts w:asciiTheme="minorHAnsi" w:eastAsia="Times New Roman" w:hAnsiTheme="minorHAnsi" w:cstheme="minorHAnsi"/>
          <w:b w:val="0"/>
          <w:snapToGrid/>
          <w:sz w:val="22"/>
          <w:szCs w:val="22"/>
          <w:lang w:eastAsia="sk-SK"/>
        </w:rPr>
        <w:t>Spoločnosť si je vedomá, že zábava, pohostinnosť a výmena obchodných darčekov sa považujú za bežnú prax a súčasť budovania a udržiavania obchodných vzťahov. Politikou je takúto prax akceptovať za predpokladu, že poskytnutá hodnota nepresiahne primeranú hodnotu a že dar, zábava alebo pohostinnosť nie sú poskytované s úmyslom ovplyvniť ich príjemcu v správaní alebo rozhodovaní. Za žiadnych okolností nie je prípustné prijímať ani ponúkať akékoľvek peňažné dary nad 100 EUR/rok.</w:t>
      </w:r>
    </w:p>
    <w:p w14:paraId="4ECF1B76" w14:textId="77777777" w:rsidR="00E324D5" w:rsidRPr="00C143DA" w:rsidRDefault="00E324D5" w:rsidP="00E324D5">
      <w:pPr>
        <w:pStyle w:val="Default"/>
        <w:rPr>
          <w:rFonts w:asciiTheme="minorHAnsi" w:hAnsiTheme="minorHAnsi" w:cstheme="minorHAnsi"/>
          <w:b w:val="0"/>
          <w:color w:val="auto"/>
          <w:sz w:val="22"/>
          <w:szCs w:val="22"/>
        </w:rPr>
      </w:pPr>
    </w:p>
    <w:p w14:paraId="7A5D7034" w14:textId="77777777" w:rsidR="00E324D5" w:rsidRPr="00C143DA" w:rsidRDefault="00E324D5" w:rsidP="00E324D5">
      <w:pPr>
        <w:pStyle w:val="Default"/>
        <w:rPr>
          <w:rFonts w:asciiTheme="minorHAnsi" w:hAnsiTheme="minorHAnsi" w:cstheme="minorHAnsi"/>
          <w:b w:val="0"/>
          <w:color w:val="auto"/>
          <w:sz w:val="22"/>
          <w:szCs w:val="22"/>
        </w:rPr>
      </w:pPr>
    </w:p>
    <w:p w14:paraId="6DA68222"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RTC – 3     Konkurenčný boj</w:t>
      </w:r>
    </w:p>
    <w:p w14:paraId="27DB4D50" w14:textId="77777777" w:rsidR="00E324D5" w:rsidRPr="00C143DA" w:rsidRDefault="00E324D5" w:rsidP="00E324D5">
      <w:pPr>
        <w:pStyle w:val="Default"/>
        <w:rPr>
          <w:rFonts w:asciiTheme="minorHAnsi" w:hAnsiTheme="minorHAnsi" w:cstheme="minorHAnsi"/>
          <w:b w:val="0"/>
          <w:color w:val="auto"/>
          <w:sz w:val="22"/>
          <w:szCs w:val="22"/>
        </w:rPr>
      </w:pPr>
    </w:p>
    <w:p w14:paraId="2331AC63" w14:textId="77777777" w:rsidR="00E324D5" w:rsidRPr="00C143DA" w:rsidRDefault="00E324D5" w:rsidP="00E324D5">
      <w:pPr>
        <w:pStyle w:val="Default"/>
        <w:spacing w:line="276" w:lineRule="auto"/>
        <w:jc w:val="both"/>
        <w:rPr>
          <w:rFonts w:asciiTheme="minorHAnsi" w:eastAsia="Times New Roman" w:hAnsiTheme="minorHAnsi" w:cstheme="minorHAnsi"/>
          <w:b w:val="0"/>
          <w:snapToGrid/>
          <w:sz w:val="22"/>
          <w:szCs w:val="22"/>
          <w:lang w:eastAsia="sk-SK"/>
        </w:rPr>
      </w:pPr>
      <w:r w:rsidRPr="00C143DA">
        <w:rPr>
          <w:rFonts w:asciiTheme="minorHAnsi" w:eastAsia="Times New Roman" w:hAnsiTheme="minorHAnsi" w:cstheme="minorHAnsi"/>
          <w:b w:val="0"/>
          <w:snapToGrid/>
          <w:sz w:val="22"/>
          <w:szCs w:val="22"/>
          <w:lang w:eastAsia="sk-SK"/>
        </w:rPr>
        <w:t xml:space="preserve">V súlade s právnymi predpismi na národnej a regionálnej úrovni Kódex správania a pravidlá spoločností zakazujú všetky nezákonné cenové dohody a iné nekalé dohody o kľúčových požiadavkách, sadzbách, zrážkach, poplatkoch a podmienkach medzi konkurentmi (kartelové dohody), ktoré by mohli vylúčiť, znemožniť, obmedziť alebo narušiť čestnú hospodársku súťaž. </w:t>
      </w:r>
    </w:p>
    <w:p w14:paraId="43AF1FE4" w14:textId="77777777" w:rsidR="00E324D5" w:rsidRPr="00C143DA" w:rsidRDefault="00E324D5" w:rsidP="00E324D5">
      <w:pPr>
        <w:pStyle w:val="Default"/>
        <w:spacing w:line="276" w:lineRule="auto"/>
        <w:jc w:val="both"/>
        <w:rPr>
          <w:rFonts w:asciiTheme="minorHAnsi" w:eastAsia="Times New Roman" w:hAnsiTheme="minorHAnsi" w:cstheme="minorHAnsi"/>
          <w:b w:val="0"/>
          <w:snapToGrid/>
          <w:sz w:val="22"/>
          <w:szCs w:val="22"/>
          <w:lang w:eastAsia="sk-SK"/>
        </w:rPr>
      </w:pPr>
      <w:r w:rsidRPr="00C143DA">
        <w:rPr>
          <w:rFonts w:asciiTheme="minorHAnsi" w:eastAsia="Times New Roman" w:hAnsiTheme="minorHAnsi" w:cstheme="minorHAnsi"/>
          <w:b w:val="0"/>
          <w:snapToGrid/>
          <w:sz w:val="22"/>
          <w:szCs w:val="22"/>
          <w:lang w:eastAsia="sk-SK"/>
        </w:rPr>
        <w:t>Preto sú aj dodávatelia povinní vynakladať rovnaké úsilie a sú vedení k tomu, aby zaviedli program dodržiavania týchto zásad na zaistenie, že ich zamestnanci od konkurentov, obchodných partnerov, zákazníkov alebo dodávateľov neprijmú ani im neposkytnú, či už ústne alebo písomne, žiadne informácie o cenových dohodách alebo o iných podmienkach týkajúcich sa nesúvisiacej tretej strany.</w:t>
      </w:r>
    </w:p>
    <w:p w14:paraId="30674412" w14:textId="77777777" w:rsidR="00E324D5" w:rsidRPr="00C143DA" w:rsidRDefault="00E324D5" w:rsidP="00E324D5">
      <w:pPr>
        <w:pStyle w:val="PredformtovanHTML"/>
        <w:spacing w:line="276" w:lineRule="auto"/>
        <w:jc w:val="both"/>
        <w:rPr>
          <w:rFonts w:asciiTheme="minorHAnsi" w:hAnsiTheme="minorHAnsi" w:cstheme="minorHAnsi"/>
          <w:color w:val="000000"/>
          <w:sz w:val="22"/>
          <w:szCs w:val="22"/>
        </w:rPr>
      </w:pPr>
      <w:r w:rsidRPr="00C143DA">
        <w:rPr>
          <w:rFonts w:asciiTheme="minorHAnsi" w:hAnsiTheme="minorHAnsi" w:cstheme="minorHAnsi"/>
          <w:color w:val="000000"/>
          <w:sz w:val="22"/>
          <w:szCs w:val="22"/>
        </w:rPr>
        <w:lastRenderedPageBreak/>
        <w:t>Spoločnosť môže v priebehu svojej obchodnej činnosti sprístupniť dodávateľom určité dôverné informácie a v takom prípade sa dôverné informácie zverejňujú výlučne na podporu záväzkov dodávateľa. Dodávatelia nikdy nesmú sprístupniť tieto dôverné informácie tretím stranám ani ich používať na akýkoľvek iný účel, ako je dodanie tovaru alebo služieb.</w:t>
      </w:r>
    </w:p>
    <w:p w14:paraId="04AB4301" w14:textId="77777777" w:rsidR="00E324D5" w:rsidRPr="00C143DA" w:rsidRDefault="00E324D5" w:rsidP="00E324D5">
      <w:pPr>
        <w:pStyle w:val="PredformtovanHTML"/>
        <w:spacing w:line="276" w:lineRule="auto"/>
        <w:jc w:val="both"/>
        <w:rPr>
          <w:rFonts w:asciiTheme="minorHAnsi" w:hAnsiTheme="minorHAnsi" w:cstheme="minorHAnsi"/>
          <w:color w:val="000000"/>
          <w:sz w:val="22"/>
          <w:szCs w:val="22"/>
        </w:rPr>
      </w:pPr>
    </w:p>
    <w:p w14:paraId="39363662"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RTC - 4   Všeobecné správanie</w:t>
      </w:r>
    </w:p>
    <w:p w14:paraId="6FD13034" w14:textId="77777777" w:rsidR="00E324D5" w:rsidRPr="00C143DA" w:rsidRDefault="00E324D5" w:rsidP="00E324D5">
      <w:pPr>
        <w:pStyle w:val="Default"/>
        <w:rPr>
          <w:rFonts w:asciiTheme="minorHAnsi" w:hAnsiTheme="minorHAnsi" w:cstheme="minorHAnsi"/>
          <w:b w:val="0"/>
          <w:color w:val="auto"/>
          <w:sz w:val="22"/>
          <w:szCs w:val="22"/>
        </w:rPr>
      </w:pPr>
    </w:p>
    <w:p w14:paraId="47333C97"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r w:rsidRPr="00C143DA">
        <w:rPr>
          <w:rFonts w:asciiTheme="minorHAnsi" w:eastAsia="Times New Roman" w:hAnsiTheme="minorHAnsi" w:cstheme="minorHAnsi"/>
          <w:b w:val="0"/>
          <w:bCs/>
          <w:sz w:val="22"/>
          <w:szCs w:val="22"/>
        </w:rPr>
        <w:t>Spoločnosť od svojich dodávateľov očakáva, že prejavia úsilie v súvislosti s využívaním vhodne kvalifikovaných a vyškolených zamestnancov. Ďalej sa očakáva, že dodávatelia zaistia prijatie vhodných opatrení na zamedzenie užívania a zneužívania alkoholu, drog a pod. svojimi zamestnancami pri výkone výrobných  / servisných prác alebo iných služieb v mene spoločnosti.</w:t>
      </w:r>
    </w:p>
    <w:p w14:paraId="13A856E2"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r w:rsidRPr="00C143DA">
        <w:rPr>
          <w:rFonts w:asciiTheme="minorHAnsi" w:eastAsia="Times New Roman" w:hAnsiTheme="minorHAnsi" w:cstheme="minorHAnsi"/>
          <w:b w:val="0"/>
          <w:bCs/>
          <w:sz w:val="22"/>
          <w:szCs w:val="22"/>
        </w:rPr>
        <w:t xml:space="preserve">Spoločnosť očakáva, že jej dodávatelia sú vo všetkých situáciách schopní primerane komunikovať interne so zamestnancami a zákazníkmi spoločnosti. </w:t>
      </w:r>
    </w:p>
    <w:p w14:paraId="3C19D067"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p>
    <w:p w14:paraId="455CD104"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r w:rsidRPr="00C143DA">
        <w:rPr>
          <w:rFonts w:asciiTheme="minorHAnsi" w:eastAsia="Times New Roman" w:hAnsiTheme="minorHAnsi" w:cstheme="minorHAnsi"/>
          <w:b w:val="0"/>
          <w:bCs/>
          <w:sz w:val="22"/>
          <w:szCs w:val="22"/>
        </w:rPr>
        <w:t xml:space="preserve">Dodávatelia sú ďalej povinní dodržiavať konkrétne požiadavky, pravidlá a nariadenia stanovené spoločnosťou alebo jej zákazníkmi v oblasti všeobecného správania, manipulácie a výkonu prác u zákazníkov. Dodávatelia však nie sú povinní dodržiavať konkrétne požiadavky, ktoré by boli v rozpore s nariadeniami pre všeobecnú bezpečnosť alebo pre bezpečnosť a ochranu zdravia pri práci. </w:t>
      </w:r>
    </w:p>
    <w:p w14:paraId="14CB58E1"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p>
    <w:p w14:paraId="581D5BB8"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r w:rsidRPr="00C143DA">
        <w:rPr>
          <w:rFonts w:asciiTheme="minorHAnsi" w:eastAsia="Times New Roman" w:hAnsiTheme="minorHAnsi" w:cstheme="minorHAnsi"/>
          <w:b w:val="0"/>
          <w:bCs/>
          <w:sz w:val="22"/>
          <w:szCs w:val="22"/>
        </w:rPr>
        <w:t>Spoločnosť od svojich dodávateľov očakáva, že zaistia, aby ich zariadenia používané pri poskytovaní služieb boli spoľahlivé a spôsobilé, aby spĺňali všeobecné    a zákonom stanovené štandardy údržby a aby za každých okolností vyhovovali všetkým bezpečnostným nariadeniam a opatreniam.</w:t>
      </w:r>
    </w:p>
    <w:p w14:paraId="79549395" w14:textId="77777777" w:rsidR="00E324D5" w:rsidRPr="00C143DA" w:rsidRDefault="00E324D5" w:rsidP="00E324D5">
      <w:pPr>
        <w:pStyle w:val="Default"/>
        <w:spacing w:line="276" w:lineRule="auto"/>
        <w:jc w:val="both"/>
        <w:rPr>
          <w:rFonts w:asciiTheme="minorHAnsi" w:hAnsiTheme="minorHAnsi" w:cstheme="minorHAnsi"/>
          <w:b w:val="0"/>
          <w:bCs/>
          <w:sz w:val="22"/>
          <w:szCs w:val="22"/>
        </w:rPr>
      </w:pPr>
    </w:p>
    <w:p w14:paraId="3CAEB0FE" w14:textId="77777777" w:rsidR="00E324D5" w:rsidRPr="00C143DA" w:rsidRDefault="00E324D5" w:rsidP="00E324D5">
      <w:pPr>
        <w:pStyle w:val="Default"/>
        <w:jc w:val="both"/>
        <w:rPr>
          <w:rFonts w:asciiTheme="minorHAnsi" w:hAnsiTheme="minorHAnsi" w:cstheme="minorHAnsi"/>
          <w:sz w:val="22"/>
          <w:szCs w:val="22"/>
        </w:rPr>
      </w:pPr>
    </w:p>
    <w:p w14:paraId="14C8CF7A"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 xml:space="preserve">RTC - 5 </w:t>
      </w:r>
      <w:r w:rsidRPr="00C143DA">
        <w:rPr>
          <w:rFonts w:asciiTheme="minorHAnsi" w:hAnsiTheme="minorHAnsi" w:cstheme="minorHAnsi"/>
          <w:color w:val="auto"/>
          <w:sz w:val="22"/>
          <w:szCs w:val="22"/>
        </w:rPr>
        <w:tab/>
        <w:t>Ľudské a pracovné práva</w:t>
      </w:r>
    </w:p>
    <w:p w14:paraId="76CC2E91" w14:textId="77777777" w:rsidR="00E324D5" w:rsidRPr="00C143DA" w:rsidRDefault="00E324D5" w:rsidP="00E324D5">
      <w:pPr>
        <w:pStyle w:val="Default"/>
        <w:rPr>
          <w:rFonts w:asciiTheme="minorHAnsi" w:hAnsiTheme="minorHAnsi" w:cstheme="minorHAnsi"/>
          <w:b w:val="0"/>
          <w:color w:val="auto"/>
          <w:sz w:val="22"/>
          <w:szCs w:val="22"/>
        </w:rPr>
      </w:pPr>
    </w:p>
    <w:p w14:paraId="12237A2C" w14:textId="7777777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r w:rsidRPr="00C143DA">
        <w:rPr>
          <w:rFonts w:asciiTheme="minorHAnsi" w:eastAsia="Times New Roman" w:hAnsiTheme="minorHAnsi" w:cstheme="minorHAnsi"/>
          <w:b w:val="0"/>
          <w:bCs/>
          <w:sz w:val="22"/>
          <w:szCs w:val="22"/>
        </w:rPr>
        <w:t>Od dodávateľov sa očakáva, že budú dodržiavať medzinárodne proklamované ľudské práva, že svojim zamestnancom poskytnú rovnaké príležitosti a nebudú ich diskriminovať na základe rasy ani pohlavia, rodinného stavu, etnického alebo národnostného pôvodu, náboženského presvedčenia, sexuálnej orientácie, či z dôvodu iného postavenia, ani nebudú využívať nútenú alebo nedobrovoľnú prácu, že budú dodržiavať medzinárodné právne predpisy o detskej práci. Dodávatelia sú povinní pre svojich zamestnancov vytvárať bezpečné a zdravé pracovné prostredie, ktoré spĺňa alebo prekračuje všetky priebežne sa meniace zákonné požiadavky. Spoločnosť od svojich dodávateľov vyzýva, aby rešpektovali práva svojich zamestnancov na slobodné združovanie, vstupovanie do odborových zväzov a zapájanie sa do kolektívneho vyjednávania v súlade s vnútroštátnymi zákonmi a medzinárodnými konvenciami. Nakoniec sa od dodávateľov očakáva, že budú dodržiavať príslušné zákony, nariadenia  a odvetvové normy týkajúce sa pracovných hodín a minimálnych miezd.</w:t>
      </w:r>
    </w:p>
    <w:p w14:paraId="7612A972" w14:textId="77777777" w:rsidR="00E324D5" w:rsidRPr="00C143DA" w:rsidRDefault="00E324D5" w:rsidP="00E324D5">
      <w:pPr>
        <w:pStyle w:val="Default"/>
        <w:spacing w:line="276" w:lineRule="auto"/>
        <w:jc w:val="both"/>
        <w:rPr>
          <w:rFonts w:asciiTheme="minorHAnsi" w:hAnsiTheme="minorHAnsi" w:cstheme="minorHAnsi"/>
          <w:b w:val="0"/>
          <w:color w:val="auto"/>
          <w:sz w:val="22"/>
          <w:szCs w:val="22"/>
        </w:rPr>
      </w:pPr>
    </w:p>
    <w:p w14:paraId="44FB74D9" w14:textId="77777777" w:rsidR="00E324D5" w:rsidRPr="00C143DA" w:rsidRDefault="00E324D5" w:rsidP="00E324D5">
      <w:pPr>
        <w:pStyle w:val="Default"/>
        <w:spacing w:line="276" w:lineRule="auto"/>
        <w:jc w:val="both"/>
        <w:rPr>
          <w:rFonts w:asciiTheme="minorHAnsi" w:hAnsiTheme="minorHAnsi" w:cstheme="minorHAnsi"/>
          <w:b w:val="0"/>
          <w:color w:val="auto"/>
          <w:sz w:val="22"/>
          <w:szCs w:val="22"/>
        </w:rPr>
      </w:pPr>
    </w:p>
    <w:p w14:paraId="7DBE7B2D" w14:textId="77777777" w:rsidR="00E324D5" w:rsidRPr="00C143DA" w:rsidRDefault="00E324D5" w:rsidP="00E324D5">
      <w:pPr>
        <w:pStyle w:val="Default"/>
        <w:rPr>
          <w:rFonts w:asciiTheme="minorHAnsi" w:hAnsiTheme="minorHAnsi" w:cstheme="minorHAnsi"/>
          <w:b w:val="0"/>
          <w:color w:val="auto"/>
          <w:sz w:val="22"/>
          <w:szCs w:val="22"/>
        </w:rPr>
      </w:pPr>
      <w:r w:rsidRPr="00C143DA">
        <w:rPr>
          <w:rFonts w:asciiTheme="minorHAnsi" w:hAnsiTheme="minorHAnsi" w:cstheme="minorHAnsi"/>
          <w:color w:val="auto"/>
          <w:sz w:val="22"/>
          <w:szCs w:val="22"/>
        </w:rPr>
        <w:t xml:space="preserve">RTC - 6 </w:t>
      </w:r>
      <w:r w:rsidRPr="00C143DA">
        <w:rPr>
          <w:rFonts w:asciiTheme="minorHAnsi" w:hAnsiTheme="minorHAnsi" w:cstheme="minorHAnsi"/>
          <w:color w:val="auto"/>
          <w:sz w:val="22"/>
          <w:szCs w:val="22"/>
        </w:rPr>
        <w:tab/>
        <w:t>Ohľaduplnosť k životnému prostrediu</w:t>
      </w:r>
    </w:p>
    <w:p w14:paraId="0F885F18" w14:textId="77777777" w:rsidR="00E324D5" w:rsidRPr="00C143DA" w:rsidRDefault="00E324D5" w:rsidP="00E324D5">
      <w:pPr>
        <w:pStyle w:val="Default"/>
        <w:rPr>
          <w:rFonts w:asciiTheme="minorHAnsi" w:hAnsiTheme="minorHAnsi" w:cstheme="minorHAnsi"/>
          <w:b w:val="0"/>
          <w:color w:val="auto"/>
          <w:sz w:val="22"/>
          <w:szCs w:val="22"/>
        </w:rPr>
      </w:pPr>
    </w:p>
    <w:p w14:paraId="7DB4C500" w14:textId="77777777" w:rsidR="00E324D5" w:rsidRPr="00C143DA" w:rsidRDefault="00E324D5" w:rsidP="00E324D5">
      <w:pPr>
        <w:pStyle w:val="PredformtovanHTML"/>
        <w:spacing w:line="276" w:lineRule="auto"/>
        <w:jc w:val="both"/>
        <w:rPr>
          <w:rFonts w:asciiTheme="minorHAnsi" w:hAnsiTheme="minorHAnsi" w:cstheme="minorHAnsi"/>
          <w:color w:val="000000"/>
          <w:sz w:val="22"/>
          <w:szCs w:val="22"/>
        </w:rPr>
      </w:pPr>
      <w:r w:rsidRPr="00C143DA">
        <w:rPr>
          <w:rFonts w:asciiTheme="minorHAnsi" w:hAnsiTheme="minorHAnsi" w:cstheme="minorHAnsi"/>
          <w:color w:val="000000"/>
          <w:sz w:val="22"/>
          <w:szCs w:val="22"/>
        </w:rPr>
        <w:t xml:space="preserve">Ochrana životného prostredia je kľúčovou súčasťou záväzku trvalej udržateľnosti. Spoločnosť  podporuje obchodný model vrátane stratégie pre rast a tvorbu hodnoty, čo znamená pracovať             s </w:t>
      </w:r>
      <w:r w:rsidRPr="00C143DA">
        <w:rPr>
          <w:rFonts w:asciiTheme="minorHAnsi" w:hAnsiTheme="minorHAnsi" w:cstheme="minorHAnsi"/>
          <w:color w:val="000000"/>
          <w:sz w:val="22"/>
          <w:szCs w:val="22"/>
        </w:rPr>
        <w:lastRenderedPageBreak/>
        <w:t>efektívnosťou využívania zdrojov vrátane zlepšovania environmentálneho profilu  v dodávateľskom reťazci.</w:t>
      </w:r>
    </w:p>
    <w:p w14:paraId="1AF6946D" w14:textId="77777777" w:rsidR="00E324D5" w:rsidRDefault="00E324D5" w:rsidP="00E324D5">
      <w:pPr>
        <w:pStyle w:val="Default"/>
        <w:spacing w:line="276" w:lineRule="auto"/>
        <w:jc w:val="both"/>
        <w:rPr>
          <w:rFonts w:asciiTheme="minorHAnsi" w:hAnsiTheme="minorHAnsi" w:cstheme="minorHAnsi"/>
          <w:b w:val="0"/>
          <w:bCs/>
          <w:color w:val="auto"/>
          <w:sz w:val="22"/>
          <w:szCs w:val="22"/>
        </w:rPr>
      </w:pPr>
      <w:r w:rsidRPr="00C143DA">
        <w:rPr>
          <w:rFonts w:asciiTheme="minorHAnsi" w:eastAsia="Times New Roman" w:hAnsiTheme="minorHAnsi" w:cstheme="minorHAnsi"/>
          <w:b w:val="0"/>
          <w:bCs/>
          <w:sz w:val="22"/>
          <w:szCs w:val="22"/>
        </w:rPr>
        <w:t>Od dodávateľov sa očakáva, že sú spôsobilí dodržiavať všetky príslušné vnútroštátne a medzinárodné zákony a nariadenia o ochrane životného prostredia a sú motivovaní v tom, aby neustále sledovali a aplikovali metódy a technológie minimalizujúce negatívne vplyvy na životné prostredie</w:t>
      </w:r>
      <w:r w:rsidRPr="00C143DA">
        <w:rPr>
          <w:rFonts w:asciiTheme="minorHAnsi" w:hAnsiTheme="minorHAnsi" w:cstheme="minorHAnsi"/>
          <w:b w:val="0"/>
          <w:bCs/>
          <w:color w:val="auto"/>
          <w:sz w:val="22"/>
          <w:szCs w:val="22"/>
        </w:rPr>
        <w:t>.</w:t>
      </w:r>
    </w:p>
    <w:p w14:paraId="00A8E428" w14:textId="77777777" w:rsidR="00E324D5" w:rsidRDefault="00E324D5" w:rsidP="00E324D5">
      <w:pPr>
        <w:pStyle w:val="Default"/>
        <w:spacing w:line="276" w:lineRule="auto"/>
        <w:jc w:val="both"/>
        <w:rPr>
          <w:rFonts w:asciiTheme="minorHAnsi" w:hAnsiTheme="minorHAnsi" w:cstheme="minorHAnsi"/>
          <w:b w:val="0"/>
          <w:sz w:val="22"/>
          <w:szCs w:val="22"/>
        </w:rPr>
      </w:pPr>
    </w:p>
    <w:p w14:paraId="6A457BBD" w14:textId="77777777" w:rsidR="00E324D5" w:rsidRPr="00C143DA" w:rsidRDefault="00E324D5" w:rsidP="00E324D5">
      <w:pPr>
        <w:pStyle w:val="Default"/>
        <w:rPr>
          <w:rFonts w:asciiTheme="minorHAnsi" w:hAnsiTheme="minorHAnsi" w:cstheme="minorHAnsi"/>
          <w:color w:val="auto"/>
          <w:sz w:val="22"/>
          <w:szCs w:val="22"/>
        </w:rPr>
      </w:pPr>
      <w:r w:rsidRPr="00C143DA">
        <w:rPr>
          <w:rFonts w:asciiTheme="minorHAnsi" w:hAnsiTheme="minorHAnsi" w:cstheme="minorHAnsi"/>
          <w:color w:val="auto"/>
          <w:sz w:val="22"/>
          <w:szCs w:val="22"/>
        </w:rPr>
        <w:t xml:space="preserve">RTC - </w:t>
      </w:r>
      <w:r>
        <w:rPr>
          <w:rFonts w:asciiTheme="minorHAnsi" w:hAnsiTheme="minorHAnsi" w:cstheme="minorHAnsi"/>
          <w:color w:val="auto"/>
          <w:sz w:val="22"/>
          <w:szCs w:val="22"/>
        </w:rPr>
        <w:t>7</w:t>
      </w:r>
      <w:r w:rsidRPr="00C143DA">
        <w:rPr>
          <w:rFonts w:asciiTheme="minorHAnsi" w:hAnsiTheme="minorHAnsi" w:cstheme="minorHAnsi"/>
          <w:color w:val="auto"/>
          <w:sz w:val="22"/>
          <w:szCs w:val="22"/>
        </w:rPr>
        <w:t xml:space="preserve"> </w:t>
      </w:r>
      <w:r w:rsidRPr="00C143DA">
        <w:rPr>
          <w:rFonts w:asciiTheme="minorHAnsi" w:hAnsiTheme="minorHAnsi" w:cstheme="minorHAnsi"/>
          <w:color w:val="auto"/>
          <w:sz w:val="22"/>
          <w:szCs w:val="22"/>
        </w:rPr>
        <w:tab/>
      </w:r>
      <w:r w:rsidRPr="00C143DA">
        <w:rPr>
          <w:sz w:val="22"/>
          <w:szCs w:val="22"/>
        </w:rPr>
        <w:t xml:space="preserve"> </w:t>
      </w:r>
      <w:r w:rsidRPr="00C143DA">
        <w:rPr>
          <w:rFonts w:asciiTheme="minorHAnsi" w:hAnsiTheme="minorHAnsi" w:cstheme="minorHAnsi"/>
          <w:color w:val="auto"/>
          <w:sz w:val="22"/>
          <w:szCs w:val="22"/>
        </w:rPr>
        <w:t xml:space="preserve">Ochrana informácií a originálne diely </w:t>
      </w:r>
    </w:p>
    <w:p w14:paraId="06A8FE1F" w14:textId="77777777" w:rsidR="00E324D5" w:rsidRPr="00C143DA" w:rsidRDefault="00E324D5" w:rsidP="00E324D5">
      <w:pPr>
        <w:pStyle w:val="Default"/>
        <w:rPr>
          <w:rFonts w:asciiTheme="minorHAnsi" w:hAnsiTheme="minorHAnsi" w:cstheme="minorHAnsi"/>
          <w:b w:val="0"/>
          <w:color w:val="auto"/>
          <w:sz w:val="22"/>
          <w:szCs w:val="22"/>
        </w:rPr>
      </w:pPr>
    </w:p>
    <w:p w14:paraId="1C299EE4" w14:textId="73B7CEF7" w:rsidR="00E324D5" w:rsidRPr="00C143DA" w:rsidRDefault="00E324D5" w:rsidP="00E324D5">
      <w:pPr>
        <w:pStyle w:val="Default"/>
        <w:spacing w:line="276" w:lineRule="auto"/>
        <w:jc w:val="both"/>
        <w:rPr>
          <w:rFonts w:asciiTheme="minorHAnsi" w:eastAsia="Times New Roman" w:hAnsiTheme="minorHAnsi" w:cstheme="minorHAnsi"/>
          <w:b w:val="0"/>
          <w:bCs/>
          <w:sz w:val="22"/>
          <w:szCs w:val="22"/>
        </w:rPr>
      </w:pPr>
      <w:r w:rsidRPr="00C143DA">
        <w:rPr>
          <w:rFonts w:asciiTheme="minorHAnsi" w:eastAsia="Times New Roman" w:hAnsiTheme="minorHAnsi" w:cstheme="minorHAnsi"/>
          <w:b w:val="0"/>
          <w:bCs/>
          <w:sz w:val="22"/>
          <w:szCs w:val="22"/>
        </w:rPr>
        <w:t>Dodávatelia sa musia spolupodieľať na ochrane akékoľvek dôverných údajov, informácii, prototypov a iných druhov dôverného know-how a používať ich iba na účely v súvislosti s dodavkami pre</w:t>
      </w:r>
      <w:r>
        <w:rPr>
          <w:rFonts w:asciiTheme="minorHAnsi" w:eastAsia="Times New Roman" w:hAnsiTheme="minorHAnsi" w:cstheme="minorHAnsi"/>
          <w:b w:val="0"/>
          <w:bCs/>
          <w:sz w:val="22"/>
          <w:szCs w:val="22"/>
        </w:rPr>
        <w:t xml:space="preserve"> Revol TT </w:t>
      </w:r>
      <w:r w:rsidR="00C46F98">
        <w:rPr>
          <w:rFonts w:asciiTheme="minorHAnsi" w:eastAsia="Times New Roman" w:hAnsiTheme="minorHAnsi" w:cstheme="minorHAnsi"/>
          <w:b w:val="0"/>
          <w:bCs/>
          <w:sz w:val="22"/>
          <w:szCs w:val="22"/>
        </w:rPr>
        <w:t>C</w:t>
      </w:r>
      <w:r>
        <w:rPr>
          <w:rFonts w:asciiTheme="minorHAnsi" w:eastAsia="Times New Roman" w:hAnsiTheme="minorHAnsi" w:cstheme="minorHAnsi"/>
          <w:b w:val="0"/>
          <w:bCs/>
          <w:sz w:val="22"/>
          <w:szCs w:val="22"/>
        </w:rPr>
        <w:t>onsulting</w:t>
      </w:r>
      <w:r w:rsidRPr="00C143DA">
        <w:rPr>
          <w:rFonts w:asciiTheme="minorHAnsi" w:eastAsia="Times New Roman" w:hAnsiTheme="minorHAnsi" w:cstheme="minorHAnsi"/>
          <w:b w:val="0"/>
          <w:bCs/>
          <w:sz w:val="22"/>
          <w:szCs w:val="22"/>
        </w:rPr>
        <w:t xml:space="preserve">.  Toto </w:t>
      </w:r>
      <w:r>
        <w:rPr>
          <w:rFonts w:asciiTheme="minorHAnsi" w:eastAsia="Times New Roman" w:hAnsiTheme="minorHAnsi" w:cstheme="minorHAnsi"/>
          <w:b w:val="0"/>
          <w:bCs/>
          <w:sz w:val="22"/>
          <w:szCs w:val="22"/>
        </w:rPr>
        <w:t xml:space="preserve"> sú </w:t>
      </w:r>
      <w:r w:rsidRPr="00C143DA">
        <w:rPr>
          <w:rFonts w:asciiTheme="minorHAnsi" w:eastAsia="Times New Roman" w:hAnsiTheme="minorHAnsi" w:cstheme="minorHAnsi"/>
          <w:b w:val="0"/>
          <w:bCs/>
          <w:sz w:val="22"/>
          <w:szCs w:val="22"/>
        </w:rPr>
        <w:t xml:space="preserve">rozhodujúce faktory udržateľného rozvoja a dodávatelia sú zaviazaní chrániť informácie o produktoch získané v rámci obchodných vzťahov. V žiadnom prípade nemôžu dodávať nepravé, falošné diely a materiály, ktoré nie sú pôvodné alebo neboli schválené, resp. špecifikované pri vzniku </w:t>
      </w:r>
      <w:r>
        <w:rPr>
          <w:rFonts w:asciiTheme="minorHAnsi" w:eastAsia="Times New Roman" w:hAnsiTheme="minorHAnsi" w:cstheme="minorHAnsi"/>
          <w:b w:val="0"/>
          <w:bCs/>
          <w:sz w:val="22"/>
          <w:szCs w:val="22"/>
        </w:rPr>
        <w:t xml:space="preserve">vzájomného </w:t>
      </w:r>
      <w:r w:rsidRPr="00C143DA">
        <w:rPr>
          <w:rFonts w:asciiTheme="minorHAnsi" w:eastAsia="Times New Roman" w:hAnsiTheme="minorHAnsi" w:cstheme="minorHAnsi"/>
          <w:b w:val="0"/>
          <w:bCs/>
          <w:sz w:val="22"/>
          <w:szCs w:val="22"/>
        </w:rPr>
        <w:t xml:space="preserve">obchodného </w:t>
      </w:r>
      <w:r>
        <w:rPr>
          <w:rFonts w:asciiTheme="minorHAnsi" w:eastAsia="Times New Roman" w:hAnsiTheme="minorHAnsi" w:cstheme="minorHAnsi"/>
          <w:b w:val="0"/>
          <w:bCs/>
          <w:sz w:val="22"/>
          <w:szCs w:val="22"/>
        </w:rPr>
        <w:t xml:space="preserve">vzťahu.  </w:t>
      </w:r>
    </w:p>
    <w:p w14:paraId="03C14A14" w14:textId="77777777" w:rsidR="00E324D5" w:rsidRDefault="00E324D5" w:rsidP="00E324D5">
      <w:pPr>
        <w:pStyle w:val="Default"/>
        <w:spacing w:line="276" w:lineRule="auto"/>
        <w:jc w:val="both"/>
        <w:rPr>
          <w:rFonts w:asciiTheme="minorHAnsi" w:hAnsiTheme="minorHAnsi" w:cstheme="minorHAnsi"/>
          <w:b w:val="0"/>
          <w:sz w:val="22"/>
          <w:szCs w:val="22"/>
        </w:rPr>
      </w:pPr>
    </w:p>
    <w:p w14:paraId="29438C0D" w14:textId="77777777" w:rsidR="00E324D5" w:rsidRDefault="00E324D5" w:rsidP="00E324D5">
      <w:pPr>
        <w:pStyle w:val="Default"/>
        <w:spacing w:line="276" w:lineRule="auto"/>
        <w:jc w:val="both"/>
        <w:rPr>
          <w:rFonts w:asciiTheme="minorHAnsi" w:hAnsiTheme="minorHAnsi" w:cstheme="minorHAnsi"/>
          <w:b w:val="0"/>
          <w:sz w:val="22"/>
          <w:szCs w:val="22"/>
        </w:rPr>
      </w:pPr>
    </w:p>
    <w:p w14:paraId="1F609DB3" w14:textId="77777777" w:rsidR="00E324D5" w:rsidRPr="00C143DA" w:rsidRDefault="00E324D5" w:rsidP="00E324D5">
      <w:pPr>
        <w:pStyle w:val="Default"/>
        <w:rPr>
          <w:rFonts w:asciiTheme="minorHAnsi" w:hAnsiTheme="minorHAnsi" w:cstheme="minorHAnsi"/>
          <w:color w:val="auto"/>
          <w:sz w:val="22"/>
          <w:szCs w:val="22"/>
        </w:rPr>
      </w:pPr>
      <w:r w:rsidRPr="00C143DA">
        <w:rPr>
          <w:rFonts w:asciiTheme="minorHAnsi" w:hAnsiTheme="minorHAnsi" w:cstheme="minorHAnsi"/>
          <w:color w:val="auto"/>
          <w:sz w:val="22"/>
          <w:szCs w:val="22"/>
        </w:rPr>
        <w:t xml:space="preserve">RTC - </w:t>
      </w:r>
      <w:r>
        <w:rPr>
          <w:rFonts w:asciiTheme="minorHAnsi" w:hAnsiTheme="minorHAnsi" w:cstheme="minorHAnsi"/>
          <w:color w:val="auto"/>
          <w:sz w:val="22"/>
          <w:szCs w:val="22"/>
        </w:rPr>
        <w:t>8</w:t>
      </w:r>
      <w:r w:rsidRPr="00C143DA">
        <w:rPr>
          <w:rFonts w:asciiTheme="minorHAnsi" w:hAnsiTheme="minorHAnsi" w:cstheme="minorHAnsi"/>
          <w:color w:val="auto"/>
          <w:sz w:val="22"/>
          <w:szCs w:val="22"/>
        </w:rPr>
        <w:t xml:space="preserve"> </w:t>
      </w:r>
      <w:r w:rsidRPr="00C143DA">
        <w:rPr>
          <w:rFonts w:asciiTheme="minorHAnsi" w:hAnsiTheme="minorHAnsi" w:cstheme="minorHAnsi"/>
          <w:color w:val="auto"/>
          <w:sz w:val="22"/>
          <w:szCs w:val="22"/>
        </w:rPr>
        <w:tab/>
      </w:r>
      <w:r w:rsidRPr="00C143DA">
        <w:rPr>
          <w:sz w:val="22"/>
          <w:szCs w:val="22"/>
        </w:rPr>
        <w:t xml:space="preserve"> </w:t>
      </w:r>
      <w:r>
        <w:rPr>
          <w:sz w:val="22"/>
          <w:szCs w:val="22"/>
        </w:rPr>
        <w:t>Konfliktné položky</w:t>
      </w:r>
    </w:p>
    <w:p w14:paraId="588EA0BC" w14:textId="77777777" w:rsidR="00E324D5" w:rsidRPr="00C143DA" w:rsidRDefault="00E324D5" w:rsidP="00E324D5">
      <w:pPr>
        <w:pStyle w:val="Default"/>
        <w:rPr>
          <w:rFonts w:asciiTheme="minorHAnsi" w:hAnsiTheme="minorHAnsi" w:cstheme="minorHAnsi"/>
          <w:b w:val="0"/>
          <w:color w:val="auto"/>
          <w:sz w:val="22"/>
          <w:szCs w:val="22"/>
        </w:rPr>
      </w:pPr>
    </w:p>
    <w:p w14:paraId="72B93BCA" w14:textId="77777777" w:rsidR="00E324D5" w:rsidRPr="00882BFF" w:rsidRDefault="00E324D5" w:rsidP="00E324D5">
      <w:pPr>
        <w:spacing w:line="276" w:lineRule="auto"/>
        <w:jc w:val="both"/>
        <w:rPr>
          <w:rFonts w:asciiTheme="minorHAnsi" w:hAnsiTheme="minorHAnsi" w:cstheme="minorHAnsi"/>
          <w:bCs/>
          <w:snapToGrid w:val="0"/>
          <w:color w:val="000000"/>
          <w:sz w:val="22"/>
          <w:szCs w:val="22"/>
          <w:lang w:eastAsia="en-US"/>
        </w:rPr>
      </w:pPr>
      <w:r w:rsidRPr="00882BFF">
        <w:rPr>
          <w:rFonts w:asciiTheme="minorHAnsi" w:hAnsiTheme="minorHAnsi" w:cstheme="minorHAnsi"/>
          <w:bCs/>
          <w:snapToGrid w:val="0"/>
          <w:color w:val="000000"/>
          <w:sz w:val="22"/>
          <w:szCs w:val="22"/>
          <w:lang w:eastAsia="en-US"/>
        </w:rPr>
        <w:t>Dodávate</w:t>
      </w:r>
      <w:r>
        <w:rPr>
          <w:rFonts w:asciiTheme="minorHAnsi" w:hAnsiTheme="minorHAnsi" w:cstheme="minorHAnsi"/>
          <w:bCs/>
          <w:snapToGrid w:val="0"/>
          <w:color w:val="000000"/>
          <w:sz w:val="22"/>
          <w:szCs w:val="22"/>
          <w:lang w:eastAsia="en-US"/>
        </w:rPr>
        <w:t>lia</w:t>
      </w:r>
      <w:r w:rsidRPr="00882BFF">
        <w:rPr>
          <w:rFonts w:asciiTheme="minorHAnsi" w:hAnsiTheme="minorHAnsi" w:cstheme="minorHAnsi"/>
          <w:bCs/>
          <w:snapToGrid w:val="0"/>
          <w:color w:val="000000"/>
          <w:sz w:val="22"/>
          <w:szCs w:val="22"/>
          <w:lang w:eastAsia="en-US"/>
        </w:rPr>
        <w:t xml:space="preserve"> mus</w:t>
      </w:r>
      <w:r>
        <w:rPr>
          <w:rFonts w:asciiTheme="minorHAnsi" w:hAnsiTheme="minorHAnsi" w:cstheme="minorHAnsi"/>
          <w:bCs/>
          <w:snapToGrid w:val="0"/>
          <w:color w:val="000000"/>
          <w:sz w:val="22"/>
          <w:szCs w:val="22"/>
          <w:lang w:eastAsia="en-US"/>
        </w:rPr>
        <w:t>ia</w:t>
      </w:r>
      <w:r w:rsidRPr="00882BFF">
        <w:rPr>
          <w:rFonts w:asciiTheme="minorHAnsi" w:hAnsiTheme="minorHAnsi" w:cstheme="minorHAnsi"/>
          <w:bCs/>
          <w:snapToGrid w:val="0"/>
          <w:color w:val="000000"/>
          <w:sz w:val="22"/>
          <w:szCs w:val="22"/>
          <w:lang w:eastAsia="en-US"/>
        </w:rPr>
        <w:t xml:space="preserve"> dodržiavať všetky príslušné právne predpisy a požiadavky ohľadne zákazu alebo obmedzenia používania konkrétnych látok — nebezpečné látky a chemikálie látky, najmä tie, ktoré sa uvádzajú na zozname látok vzbudzujúcich veľmi veľké obavy v kontexte nariadenia REACH</w:t>
      </w:r>
      <w:r>
        <w:rPr>
          <w:rFonts w:asciiTheme="minorHAnsi" w:hAnsiTheme="minorHAnsi" w:cstheme="minorHAnsi"/>
          <w:bCs/>
          <w:snapToGrid w:val="0"/>
          <w:color w:val="000000"/>
          <w:sz w:val="22"/>
          <w:szCs w:val="22"/>
          <w:lang w:eastAsia="en-US"/>
        </w:rPr>
        <w:t xml:space="preserve">. Tieto je potrebné </w:t>
      </w:r>
      <w:r w:rsidRPr="00882BFF">
        <w:rPr>
          <w:rFonts w:asciiTheme="minorHAnsi" w:hAnsiTheme="minorHAnsi" w:cstheme="minorHAnsi"/>
          <w:bCs/>
          <w:snapToGrid w:val="0"/>
          <w:color w:val="000000"/>
          <w:sz w:val="22"/>
          <w:szCs w:val="22"/>
          <w:lang w:eastAsia="en-US"/>
        </w:rPr>
        <w:t>identifikovať a riadiť s cieľom zaistiť ich bezpečné používanie, recykláciu alebo opätovné použitie a likvidáciu.</w:t>
      </w:r>
      <w:r>
        <w:rPr>
          <w:rFonts w:asciiTheme="minorHAnsi" w:hAnsiTheme="minorHAnsi" w:cstheme="minorHAnsi"/>
          <w:bCs/>
          <w:snapToGrid w:val="0"/>
          <w:color w:val="000000"/>
          <w:sz w:val="22"/>
          <w:szCs w:val="22"/>
          <w:lang w:eastAsia="en-US"/>
        </w:rPr>
        <w:t xml:space="preserve"> Vyžadujeme</w:t>
      </w:r>
      <w:r w:rsidRPr="00882BFF">
        <w:rPr>
          <w:rFonts w:asciiTheme="minorHAnsi" w:hAnsiTheme="minorHAnsi" w:cstheme="minorHAnsi"/>
          <w:bCs/>
          <w:snapToGrid w:val="0"/>
          <w:color w:val="000000"/>
          <w:sz w:val="22"/>
          <w:szCs w:val="22"/>
          <w:lang w:eastAsia="en-US"/>
        </w:rPr>
        <w:t xml:space="preserve"> od všetkých svojich dodávateľov, aby dodávali elektrické a elektronické zariadenia v súlade s</w:t>
      </w:r>
      <w:r>
        <w:rPr>
          <w:rFonts w:asciiTheme="minorHAnsi" w:hAnsiTheme="minorHAnsi" w:cstheme="minorHAnsi"/>
          <w:bCs/>
          <w:snapToGrid w:val="0"/>
          <w:color w:val="000000"/>
          <w:sz w:val="22"/>
          <w:szCs w:val="22"/>
          <w:lang w:eastAsia="en-US"/>
        </w:rPr>
        <w:t xml:space="preserve"> príslušným </w:t>
      </w:r>
      <w:r w:rsidRPr="00882BFF">
        <w:rPr>
          <w:rFonts w:asciiTheme="minorHAnsi" w:hAnsiTheme="minorHAnsi" w:cstheme="minorHAnsi"/>
          <w:bCs/>
          <w:snapToGrid w:val="0"/>
          <w:color w:val="000000"/>
          <w:sz w:val="22"/>
          <w:szCs w:val="22"/>
          <w:lang w:eastAsia="en-US"/>
        </w:rPr>
        <w:t>nariadením EÚ</w:t>
      </w:r>
      <w:r>
        <w:rPr>
          <w:rFonts w:asciiTheme="minorHAnsi" w:hAnsiTheme="minorHAnsi" w:cstheme="minorHAnsi"/>
          <w:bCs/>
          <w:snapToGrid w:val="0"/>
          <w:color w:val="000000"/>
          <w:sz w:val="22"/>
          <w:szCs w:val="22"/>
          <w:lang w:eastAsia="en-US"/>
        </w:rPr>
        <w:t>.</w:t>
      </w:r>
      <w:r w:rsidRPr="00882BFF">
        <w:rPr>
          <w:rFonts w:asciiTheme="minorHAnsi" w:hAnsiTheme="minorHAnsi" w:cstheme="minorHAnsi"/>
          <w:bCs/>
          <w:snapToGrid w:val="0"/>
          <w:color w:val="000000"/>
          <w:sz w:val="22"/>
          <w:szCs w:val="22"/>
          <w:lang w:eastAsia="en-US"/>
        </w:rPr>
        <w:t xml:space="preserve"> </w:t>
      </w:r>
    </w:p>
    <w:p w14:paraId="47379903" w14:textId="77777777" w:rsidR="00E324D5" w:rsidRPr="00C143DA" w:rsidRDefault="00E324D5" w:rsidP="00E324D5">
      <w:pPr>
        <w:spacing w:line="276" w:lineRule="auto"/>
        <w:jc w:val="both"/>
        <w:rPr>
          <w:rFonts w:asciiTheme="minorHAnsi" w:hAnsiTheme="minorHAnsi" w:cstheme="minorHAnsi"/>
          <w:b/>
          <w:sz w:val="22"/>
          <w:szCs w:val="22"/>
        </w:rPr>
      </w:pPr>
      <w:r>
        <w:rPr>
          <w:rFonts w:asciiTheme="minorHAnsi" w:hAnsiTheme="minorHAnsi" w:cstheme="minorHAnsi"/>
          <w:bCs/>
          <w:snapToGrid w:val="0"/>
          <w:color w:val="000000"/>
          <w:sz w:val="22"/>
          <w:szCs w:val="22"/>
          <w:lang w:eastAsia="en-US"/>
        </w:rPr>
        <w:t>D</w:t>
      </w:r>
      <w:r w:rsidRPr="00882BFF">
        <w:rPr>
          <w:rFonts w:asciiTheme="minorHAnsi" w:hAnsiTheme="minorHAnsi" w:cstheme="minorHAnsi"/>
          <w:bCs/>
          <w:snapToGrid w:val="0"/>
          <w:color w:val="000000"/>
          <w:sz w:val="22"/>
          <w:szCs w:val="22"/>
          <w:lang w:eastAsia="en-US"/>
        </w:rPr>
        <w:t xml:space="preserve">odávatelia </w:t>
      </w:r>
      <w:r>
        <w:rPr>
          <w:rFonts w:asciiTheme="minorHAnsi" w:hAnsiTheme="minorHAnsi" w:cstheme="minorHAnsi"/>
          <w:bCs/>
          <w:snapToGrid w:val="0"/>
          <w:color w:val="000000"/>
          <w:sz w:val="22"/>
          <w:szCs w:val="22"/>
          <w:lang w:eastAsia="en-US"/>
        </w:rPr>
        <w:t>sú zaviazaní povinnosťou</w:t>
      </w:r>
      <w:r w:rsidRPr="00882BFF">
        <w:rPr>
          <w:rFonts w:asciiTheme="minorHAnsi" w:hAnsiTheme="minorHAnsi" w:cstheme="minorHAnsi"/>
          <w:bCs/>
          <w:snapToGrid w:val="0"/>
          <w:color w:val="000000"/>
          <w:sz w:val="22"/>
          <w:szCs w:val="22"/>
          <w:lang w:eastAsia="en-US"/>
        </w:rPr>
        <w:t xml:space="preserve"> sledovať zdroje konfliktných minerálov a podporovať transparentnosť v rámci svojho dodávateľského reťazca, na tento účel </w:t>
      </w:r>
      <w:r>
        <w:rPr>
          <w:rFonts w:asciiTheme="minorHAnsi" w:hAnsiTheme="minorHAnsi" w:cstheme="minorHAnsi"/>
          <w:bCs/>
          <w:snapToGrid w:val="0"/>
          <w:color w:val="000000"/>
          <w:sz w:val="22"/>
          <w:szCs w:val="22"/>
          <w:lang w:eastAsia="en-US"/>
        </w:rPr>
        <w:t>prijímať vhodné</w:t>
      </w:r>
      <w:r w:rsidRPr="00882BFF">
        <w:rPr>
          <w:rFonts w:asciiTheme="minorHAnsi" w:hAnsiTheme="minorHAnsi" w:cstheme="minorHAnsi"/>
          <w:bCs/>
          <w:snapToGrid w:val="0"/>
          <w:color w:val="000000"/>
          <w:sz w:val="22"/>
          <w:szCs w:val="22"/>
          <w:lang w:eastAsia="en-US"/>
        </w:rPr>
        <w:t xml:space="preserve"> opatrenia</w:t>
      </w:r>
      <w:r>
        <w:rPr>
          <w:rFonts w:asciiTheme="minorHAnsi" w:hAnsiTheme="minorHAnsi" w:cstheme="minorHAnsi"/>
          <w:bCs/>
          <w:snapToGrid w:val="0"/>
          <w:color w:val="000000"/>
          <w:sz w:val="22"/>
          <w:szCs w:val="22"/>
          <w:lang w:eastAsia="en-US"/>
        </w:rPr>
        <w:t xml:space="preserve"> a </w:t>
      </w:r>
      <w:r w:rsidRPr="00882BFF">
        <w:rPr>
          <w:rFonts w:asciiTheme="minorHAnsi" w:hAnsiTheme="minorHAnsi" w:cstheme="minorHAnsi"/>
          <w:bCs/>
          <w:snapToGrid w:val="0"/>
          <w:color w:val="000000"/>
          <w:sz w:val="22"/>
          <w:szCs w:val="22"/>
          <w:lang w:eastAsia="en-US"/>
        </w:rPr>
        <w:t xml:space="preserve"> </w:t>
      </w:r>
      <w:r>
        <w:rPr>
          <w:rFonts w:asciiTheme="minorHAnsi" w:hAnsiTheme="minorHAnsi" w:cstheme="minorHAnsi"/>
          <w:bCs/>
          <w:snapToGrid w:val="0"/>
          <w:color w:val="000000"/>
          <w:sz w:val="22"/>
          <w:szCs w:val="22"/>
          <w:lang w:eastAsia="en-US"/>
        </w:rPr>
        <w:t xml:space="preserve">v konečnom dôsledku </w:t>
      </w:r>
      <w:r w:rsidRPr="00882BFF">
        <w:rPr>
          <w:rFonts w:asciiTheme="minorHAnsi" w:hAnsiTheme="minorHAnsi" w:cstheme="minorHAnsi"/>
          <w:bCs/>
          <w:snapToGrid w:val="0"/>
          <w:color w:val="000000"/>
          <w:sz w:val="22"/>
          <w:szCs w:val="22"/>
          <w:lang w:eastAsia="en-US"/>
        </w:rPr>
        <w:t>vy</w:t>
      </w:r>
      <w:r>
        <w:rPr>
          <w:rFonts w:asciiTheme="minorHAnsi" w:hAnsiTheme="minorHAnsi" w:cstheme="minorHAnsi"/>
          <w:bCs/>
          <w:snapToGrid w:val="0"/>
          <w:color w:val="000000"/>
          <w:sz w:val="22"/>
          <w:szCs w:val="22"/>
          <w:lang w:eastAsia="en-US"/>
        </w:rPr>
        <w:t>lúčiť pou</w:t>
      </w:r>
      <w:r w:rsidRPr="00882BFF">
        <w:rPr>
          <w:rFonts w:asciiTheme="minorHAnsi" w:hAnsiTheme="minorHAnsi" w:cstheme="minorHAnsi"/>
          <w:bCs/>
          <w:snapToGrid w:val="0"/>
          <w:color w:val="000000"/>
          <w:sz w:val="22"/>
          <w:szCs w:val="22"/>
          <w:lang w:eastAsia="en-US"/>
        </w:rPr>
        <w:t>žívanie vzácnych zdrojov</w:t>
      </w:r>
      <w:r>
        <w:rPr>
          <w:rFonts w:asciiTheme="minorHAnsi" w:hAnsiTheme="minorHAnsi" w:cstheme="minorHAnsi"/>
          <w:bCs/>
          <w:snapToGrid w:val="0"/>
          <w:color w:val="000000"/>
          <w:sz w:val="22"/>
          <w:szCs w:val="22"/>
          <w:lang w:eastAsia="en-US"/>
        </w:rPr>
        <w:t xml:space="preserve">, resp. zdrojov z vysokorizikových oblastí sveta. </w:t>
      </w:r>
    </w:p>
    <w:p w14:paraId="3AF5DFD5" w14:textId="77777777" w:rsidR="00847140" w:rsidRDefault="00847140"/>
    <w:sectPr w:rsidR="00847140" w:rsidSect="00694EB1">
      <w:headerReference w:type="default" r:id="rId9"/>
      <w:footerReference w:type="default" r:id="rId10"/>
      <w:pgSz w:w="11906" w:h="16838" w:code="9"/>
      <w:pgMar w:top="1440" w:right="1274" w:bottom="1440" w:left="1559" w:header="708" w:footer="11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F7A6" w14:textId="77777777" w:rsidR="00E324D5" w:rsidRDefault="00E324D5" w:rsidP="00E324D5">
      <w:r>
        <w:separator/>
      </w:r>
    </w:p>
  </w:endnote>
  <w:endnote w:type="continuationSeparator" w:id="0">
    <w:p w14:paraId="2D4282D8" w14:textId="77777777" w:rsidR="00E324D5" w:rsidRDefault="00E324D5" w:rsidP="00E3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39DF" w14:textId="77777777" w:rsidR="00E26D51" w:rsidRDefault="00E324D5" w:rsidP="00AA7B4E">
    <w:pPr>
      <w:pStyle w:val="Hlavika"/>
      <w:jc w:val="center"/>
    </w:pPr>
    <w:r>
      <w:rPr>
        <w:snapToGrid w:val="0"/>
      </w:rPr>
      <w:t xml:space="preserve"> </w:t>
    </w:r>
    <w:r w:rsidRPr="00EF46BD">
      <w:rPr>
        <w:rFonts w:ascii="Calibri" w:hAnsi="Calibri" w:cs="Calibri"/>
        <w:sz w:val="22"/>
        <w:szCs w:val="22"/>
      </w:rPr>
      <w:fldChar w:fldCharType="begin"/>
    </w:r>
    <w:r w:rsidRPr="00EF46BD">
      <w:rPr>
        <w:rFonts w:ascii="Calibri" w:hAnsi="Calibri" w:cs="Calibri"/>
        <w:sz w:val="22"/>
        <w:szCs w:val="22"/>
      </w:rPr>
      <w:instrText xml:space="preserve"> PAGE   \* MERGEFORMAT </w:instrText>
    </w:r>
    <w:r w:rsidRPr="00EF46BD">
      <w:rPr>
        <w:rFonts w:ascii="Calibri" w:hAnsi="Calibri" w:cs="Calibri"/>
        <w:sz w:val="22"/>
        <w:szCs w:val="22"/>
      </w:rPr>
      <w:fldChar w:fldCharType="separate"/>
    </w:r>
    <w:r>
      <w:rPr>
        <w:rFonts w:ascii="Calibri" w:hAnsi="Calibri" w:cs="Calibri"/>
        <w:noProof/>
        <w:sz w:val="22"/>
        <w:szCs w:val="22"/>
      </w:rPr>
      <w:t>1</w:t>
    </w:r>
    <w:r w:rsidRPr="00EF46BD">
      <w:rPr>
        <w:rFonts w:ascii="Calibri" w:hAnsi="Calibri" w:cs="Calibri"/>
        <w:sz w:val="22"/>
        <w:szCs w:val="22"/>
      </w:rPr>
      <w:fldChar w:fldCharType="end"/>
    </w:r>
    <w:r w:rsidRPr="00EF46BD">
      <w:rPr>
        <w:rFonts w:ascii="Calibri" w:hAnsi="Calibri" w:cs="Calibri"/>
        <w:sz w:val="22"/>
        <w:szCs w:val="22"/>
      </w:rPr>
      <w:t xml:space="preserve"> z </w:t>
    </w:r>
    <w:r w:rsidRPr="00EF46BD">
      <w:rPr>
        <w:rFonts w:ascii="Calibri" w:hAnsi="Calibri" w:cs="Calibri"/>
        <w:sz w:val="22"/>
        <w:szCs w:val="22"/>
      </w:rPr>
      <w:fldChar w:fldCharType="begin"/>
    </w:r>
    <w:r w:rsidRPr="00EF46BD">
      <w:rPr>
        <w:rFonts w:ascii="Calibri" w:hAnsi="Calibri" w:cs="Calibri"/>
        <w:sz w:val="22"/>
        <w:szCs w:val="22"/>
      </w:rPr>
      <w:instrText>NUMPAGES</w:instrText>
    </w:r>
    <w:r w:rsidRPr="00EF46BD">
      <w:rPr>
        <w:rFonts w:ascii="Calibri" w:hAnsi="Calibri" w:cs="Calibri"/>
        <w:sz w:val="22"/>
        <w:szCs w:val="22"/>
      </w:rPr>
      <w:fldChar w:fldCharType="separate"/>
    </w:r>
    <w:r>
      <w:rPr>
        <w:rFonts w:ascii="Calibri" w:hAnsi="Calibri" w:cs="Calibri"/>
        <w:noProof/>
        <w:sz w:val="22"/>
        <w:szCs w:val="22"/>
      </w:rPr>
      <w:t>3</w:t>
    </w:r>
    <w:r w:rsidRPr="00EF46BD">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1550" w14:textId="77777777" w:rsidR="00E324D5" w:rsidRDefault="00E324D5" w:rsidP="00E324D5">
      <w:r>
        <w:separator/>
      </w:r>
    </w:p>
  </w:footnote>
  <w:footnote w:type="continuationSeparator" w:id="0">
    <w:p w14:paraId="28E1B702" w14:textId="77777777" w:rsidR="00E324D5" w:rsidRDefault="00E324D5" w:rsidP="00E3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6060"/>
      <w:gridCol w:w="2303"/>
    </w:tblGrid>
    <w:tr w:rsidR="00E324D5" w:rsidRPr="00C143DA" w14:paraId="6D1CB305" w14:textId="77777777" w:rsidTr="00B33892">
      <w:trPr>
        <w:trHeight w:val="963"/>
      </w:trPr>
      <w:tc>
        <w:tcPr>
          <w:tcW w:w="1418" w:type="dxa"/>
          <w:vAlign w:val="center"/>
        </w:tcPr>
        <w:p w14:paraId="4F2273BD" w14:textId="77777777" w:rsidR="00E324D5" w:rsidRPr="00C143DA" w:rsidRDefault="00E324D5" w:rsidP="00E324D5">
          <w:pPr>
            <w:jc w:val="center"/>
            <w:rPr>
              <w:rFonts w:ascii="Arial" w:hAnsi="Arial"/>
              <w:lang w:eastAsia="sk-SK"/>
            </w:rPr>
          </w:pPr>
          <w:r w:rsidRPr="008C7A3D">
            <w:rPr>
              <w:rFonts w:ascii="Arial" w:hAnsi="Arial"/>
              <w:noProof/>
              <w:lang w:eastAsia="sk-SK"/>
            </w:rPr>
            <w:drawing>
              <wp:inline distT="0" distB="0" distL="0" distR="0" wp14:anchorId="7E8A04A4" wp14:editId="0FE1162C">
                <wp:extent cx="739243" cy="382037"/>
                <wp:effectExtent l="0" t="0" r="381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648" cy="386381"/>
                        </a:xfrm>
                        <a:prstGeom prst="rect">
                          <a:avLst/>
                        </a:prstGeom>
                        <a:noFill/>
                        <a:ln>
                          <a:noFill/>
                        </a:ln>
                      </pic:spPr>
                    </pic:pic>
                  </a:graphicData>
                </a:graphic>
              </wp:inline>
            </w:drawing>
          </w:r>
        </w:p>
      </w:tc>
      <w:tc>
        <w:tcPr>
          <w:tcW w:w="6060" w:type="dxa"/>
          <w:vAlign w:val="center"/>
        </w:tcPr>
        <w:p w14:paraId="77BEE81B" w14:textId="77777777" w:rsidR="00E324D5" w:rsidRPr="00C143DA" w:rsidRDefault="00E324D5" w:rsidP="00E324D5">
          <w:pPr>
            <w:ind w:right="284"/>
            <w:rPr>
              <w:rFonts w:asciiTheme="minorHAnsi" w:hAnsiTheme="minorHAnsi" w:cstheme="minorHAnsi"/>
              <w:sz w:val="18"/>
              <w:szCs w:val="18"/>
              <w:lang w:eastAsia="sk-SK"/>
            </w:rPr>
          </w:pPr>
        </w:p>
        <w:p w14:paraId="71DB5AD4" w14:textId="77777777" w:rsidR="00E324D5" w:rsidRPr="00C143DA" w:rsidRDefault="00E324D5" w:rsidP="00E324D5">
          <w:pPr>
            <w:rPr>
              <w:rFonts w:ascii="Arial" w:hAnsi="Arial"/>
              <w:sz w:val="22"/>
              <w:lang w:eastAsia="sk-SK"/>
            </w:rPr>
          </w:pPr>
          <w:r w:rsidRPr="00C143DA">
            <w:rPr>
              <w:rFonts w:ascii="Helvetica" w:hAnsi="Helvetica" w:cs="Helvetica"/>
              <w:b/>
              <w:sz w:val="28"/>
              <w:lang w:eastAsia="sk-SK"/>
            </w:rPr>
            <w:t xml:space="preserve">       </w:t>
          </w:r>
          <w:r w:rsidRPr="00C143DA">
            <w:rPr>
              <w:rFonts w:asciiTheme="minorHAnsi" w:hAnsiTheme="minorHAnsi" w:cstheme="minorHAnsi"/>
              <w:b/>
              <w:sz w:val="24"/>
              <w:szCs w:val="24"/>
            </w:rPr>
            <w:t>ETICKÝ KÓDEX DODÁVATEĽA  REVOL TT Consulting</w:t>
          </w:r>
        </w:p>
      </w:tc>
      <w:tc>
        <w:tcPr>
          <w:tcW w:w="2303" w:type="dxa"/>
        </w:tcPr>
        <w:p w14:paraId="07385D26" w14:textId="77777777" w:rsidR="00E324D5" w:rsidRPr="00C143DA" w:rsidRDefault="00E324D5" w:rsidP="00E324D5">
          <w:pPr>
            <w:spacing w:line="360" w:lineRule="auto"/>
            <w:ind w:left="1348" w:hanging="1348"/>
            <w:rPr>
              <w:rFonts w:ascii="Arial" w:hAnsi="Arial"/>
              <w:b/>
              <w:color w:val="808080"/>
              <w:lang w:eastAsia="sk-SK"/>
            </w:rPr>
          </w:pPr>
          <w:r w:rsidRPr="00C143DA">
            <w:rPr>
              <w:rFonts w:ascii="Arial" w:hAnsi="Arial"/>
              <w:color w:val="808080"/>
              <w:lang w:eastAsia="sk-SK"/>
            </w:rPr>
            <w:t xml:space="preserve">č.: P 1   </w:t>
          </w:r>
          <w:r w:rsidRPr="00C143DA">
            <w:rPr>
              <w:rFonts w:ascii="Arial" w:hAnsi="Arial"/>
              <w:b/>
              <w:color w:val="808080"/>
              <w:lang w:eastAsia="sk-SK"/>
            </w:rPr>
            <w:t>S – 16</w:t>
          </w:r>
        </w:p>
        <w:p w14:paraId="185A1E19" w14:textId="77777777" w:rsidR="00E324D5" w:rsidRPr="00C143DA" w:rsidRDefault="00E324D5" w:rsidP="00E324D5">
          <w:pPr>
            <w:spacing w:line="360" w:lineRule="auto"/>
            <w:rPr>
              <w:rFonts w:ascii="Arial" w:hAnsi="Arial"/>
              <w:color w:val="808080"/>
              <w:lang w:eastAsia="sk-SK"/>
            </w:rPr>
          </w:pPr>
          <w:r>
            <w:rPr>
              <w:rFonts w:ascii="Arial" w:hAnsi="Arial"/>
              <w:color w:val="808080"/>
              <w:lang w:eastAsia="sk-SK"/>
            </w:rPr>
            <w:t>Verzia:</w:t>
          </w:r>
          <w:r>
            <w:rPr>
              <w:rFonts w:ascii="Arial" w:hAnsi="Arial"/>
              <w:color w:val="808080"/>
              <w:lang w:eastAsia="sk-SK"/>
            </w:rPr>
            <w:tab/>
            <w:t>2</w:t>
          </w:r>
        </w:p>
        <w:p w14:paraId="54416DC3" w14:textId="77777777" w:rsidR="00E324D5" w:rsidRPr="00C143DA" w:rsidRDefault="00E324D5" w:rsidP="00E324D5">
          <w:pPr>
            <w:spacing w:line="360" w:lineRule="auto"/>
            <w:ind w:left="1348" w:hanging="1348"/>
            <w:rPr>
              <w:rFonts w:ascii="Arial" w:hAnsi="Arial"/>
              <w:lang w:eastAsia="sk-SK"/>
            </w:rPr>
          </w:pPr>
          <w:r w:rsidRPr="00C143DA">
            <w:rPr>
              <w:rFonts w:ascii="Arial" w:hAnsi="Arial"/>
              <w:color w:val="808080"/>
              <w:lang w:eastAsia="sk-SK"/>
            </w:rPr>
            <w:t>Platí od: 1.</w:t>
          </w:r>
          <w:r>
            <w:rPr>
              <w:rFonts w:ascii="Arial" w:hAnsi="Arial"/>
              <w:color w:val="808080"/>
              <w:lang w:eastAsia="sk-SK"/>
            </w:rPr>
            <w:t>1</w:t>
          </w:r>
          <w:r w:rsidRPr="00C143DA">
            <w:rPr>
              <w:rFonts w:ascii="Arial" w:hAnsi="Arial"/>
              <w:color w:val="808080"/>
              <w:lang w:eastAsia="sk-SK"/>
            </w:rPr>
            <w:t>1.2021</w:t>
          </w:r>
        </w:p>
      </w:tc>
    </w:tr>
  </w:tbl>
  <w:p w14:paraId="010CB737" w14:textId="77777777" w:rsidR="00E324D5" w:rsidRDefault="00E324D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D5"/>
    <w:rsid w:val="00847140"/>
    <w:rsid w:val="00C46F98"/>
    <w:rsid w:val="00E32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9BC8"/>
  <w15:chartTrackingRefBased/>
  <w15:docId w15:val="{FE7F69D5-87CB-438C-8562-1F31D809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4D5"/>
    <w:pPr>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324D5"/>
    <w:pPr>
      <w:tabs>
        <w:tab w:val="center" w:pos="4536"/>
        <w:tab w:val="right" w:pos="9072"/>
      </w:tabs>
    </w:pPr>
  </w:style>
  <w:style w:type="character" w:customStyle="1" w:styleId="HlavikaChar">
    <w:name w:val="Hlavička Char"/>
    <w:basedOn w:val="Predvolenpsmoodseku"/>
    <w:link w:val="Hlavika"/>
    <w:uiPriority w:val="99"/>
    <w:rsid w:val="00E324D5"/>
    <w:rPr>
      <w:rFonts w:ascii="Times New Roman" w:eastAsia="Times New Roman" w:hAnsi="Times New Roman" w:cs="Times New Roman"/>
      <w:sz w:val="20"/>
      <w:szCs w:val="20"/>
      <w:lang w:eastAsia="cs-CZ"/>
    </w:rPr>
  </w:style>
  <w:style w:type="paragraph" w:customStyle="1" w:styleId="Default">
    <w:name w:val="Default"/>
    <w:rsid w:val="00E324D5"/>
    <w:pPr>
      <w:autoSpaceDE w:val="0"/>
      <w:autoSpaceDN w:val="0"/>
      <w:adjustRightInd w:val="0"/>
      <w:spacing w:after="0" w:line="240" w:lineRule="auto"/>
    </w:pPr>
    <w:rPr>
      <w:rFonts w:ascii="Calibri" w:eastAsia="Calibri" w:hAnsi="Calibri" w:cs="Calibri"/>
      <w:b/>
      <w:snapToGrid w:val="0"/>
      <w:color w:val="000000"/>
      <w:sz w:val="24"/>
      <w:szCs w:val="24"/>
    </w:rPr>
  </w:style>
  <w:style w:type="paragraph" w:styleId="PredformtovanHTML">
    <w:name w:val="HTML Preformatted"/>
    <w:basedOn w:val="Normlny"/>
    <w:link w:val="PredformtovanHTMLChar"/>
    <w:uiPriority w:val="99"/>
    <w:unhideWhenUsed/>
    <w:rsid w:val="00E3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E324D5"/>
    <w:rPr>
      <w:rFonts w:ascii="Courier New" w:eastAsia="Times New Roman" w:hAnsi="Courier New" w:cs="Courier New"/>
      <w:sz w:val="20"/>
      <w:szCs w:val="20"/>
      <w:lang w:eastAsia="sk-SK"/>
    </w:rPr>
  </w:style>
  <w:style w:type="paragraph" w:styleId="Pta">
    <w:name w:val="footer"/>
    <w:basedOn w:val="Normlny"/>
    <w:link w:val="PtaChar"/>
    <w:uiPriority w:val="99"/>
    <w:unhideWhenUsed/>
    <w:rsid w:val="00E324D5"/>
    <w:pPr>
      <w:tabs>
        <w:tab w:val="center" w:pos="4536"/>
        <w:tab w:val="right" w:pos="9072"/>
      </w:tabs>
    </w:pPr>
  </w:style>
  <w:style w:type="character" w:customStyle="1" w:styleId="PtaChar">
    <w:name w:val="Päta Char"/>
    <w:basedOn w:val="Predvolenpsmoodseku"/>
    <w:link w:val="Pta"/>
    <w:uiPriority w:val="99"/>
    <w:rsid w:val="00E324D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542C2B95164049AA06A72F351EB86B" ma:contentTypeVersion="13" ma:contentTypeDescription="Umožňuje vytvoriť nový dokument." ma:contentTypeScope="" ma:versionID="4da557f4d3c19a78e6281c509511f82f">
  <xsd:schema xmlns:xsd="http://www.w3.org/2001/XMLSchema" xmlns:xs="http://www.w3.org/2001/XMLSchema" xmlns:p="http://schemas.microsoft.com/office/2006/metadata/properties" xmlns:ns3="e15dbb48-7ece-4021-9233-6317333a0db2" xmlns:ns4="05388c70-3450-4bf0-a13c-40c456e5e5f0" targetNamespace="http://schemas.microsoft.com/office/2006/metadata/properties" ma:root="true" ma:fieldsID="c1aee9713ae4913d05d7f955fbbc2668" ns3:_="" ns4:_="">
    <xsd:import namespace="e15dbb48-7ece-4021-9233-6317333a0db2"/>
    <xsd:import namespace="05388c70-3450-4bf0-a13c-40c456e5e5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dbb48-7ece-4021-9233-6317333a0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88c70-3450-4bf0-a13c-40c456e5e5f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18150-210D-43EF-BAAD-91502AF0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dbb48-7ece-4021-9233-6317333a0db2"/>
    <ds:schemaRef ds:uri="05388c70-3450-4bf0-a13c-40c456e5e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F429F-F0F1-4ECA-8E5D-BBDC052B0042}">
  <ds:schemaRefs>
    <ds:schemaRef ds:uri="http://schemas.openxmlformats.org/package/2006/metadata/core-properties"/>
    <ds:schemaRef ds:uri="http://schemas.microsoft.com/office/2006/documentManagement/types"/>
    <ds:schemaRef ds:uri="05388c70-3450-4bf0-a13c-40c456e5e5f0"/>
    <ds:schemaRef ds:uri="http://purl.org/dc/elements/1.1/"/>
    <ds:schemaRef ds:uri="http://schemas.microsoft.com/office/2006/metadata/properties"/>
    <ds:schemaRef ds:uri="http://schemas.microsoft.com/office/infopath/2007/PartnerControls"/>
    <ds:schemaRef ds:uri="http://purl.org/dc/terms/"/>
    <ds:schemaRef ds:uri="e15dbb48-7ece-4021-9233-6317333a0db2"/>
    <ds:schemaRef ds:uri="http://www.w3.org/XML/1998/namespace"/>
    <ds:schemaRef ds:uri="http://purl.org/dc/dcmitype/"/>
  </ds:schemaRefs>
</ds:datastoreItem>
</file>

<file path=customXml/itemProps3.xml><?xml version="1.0" encoding="utf-8"?>
<ds:datastoreItem xmlns:ds="http://schemas.openxmlformats.org/officeDocument/2006/customXml" ds:itemID="{01D1CCCB-0B05-4F54-85A9-1D9AA2DC4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6291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Uzivatel</cp:lastModifiedBy>
  <cp:revision>2</cp:revision>
  <dcterms:created xsi:type="dcterms:W3CDTF">2021-12-02T13:25:00Z</dcterms:created>
  <dcterms:modified xsi:type="dcterms:W3CDTF">2021-12-02T13:25:00Z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0x01010095542C2B95164049AA06A72F351EB86B</vt:lpwstr>
  </property>
</Properties>
</file>